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386" w:rsidRPr="001D6F77" w:rsidRDefault="00721A29" w:rsidP="00721A29">
      <w:pPr>
        <w:jc w:val="center"/>
        <w:rPr>
          <w:rFonts w:ascii="Times New Roman" w:hAnsi="Times New Roman" w:cs="Times New Roman"/>
          <w:b/>
          <w:color w:val="5B9BD5" w:themeColor="accent1"/>
          <w:szCs w:val="24"/>
        </w:rPr>
      </w:pPr>
      <w:r w:rsidRPr="001D6F77">
        <w:rPr>
          <w:rFonts w:ascii="Times New Roman" w:hAnsi="Times New Roman" w:cs="Times New Roman"/>
          <w:b/>
          <w:color w:val="2E74B5" w:themeColor="accent1" w:themeShade="BF"/>
          <w:sz w:val="24"/>
        </w:rPr>
        <w:t>DELAWARE STATE HOUSING AUTHORITY</w:t>
      </w:r>
      <w:r w:rsidRPr="001D6F77">
        <w:rPr>
          <w:rFonts w:ascii="Times New Roman" w:hAnsi="Times New Roman" w:cs="Times New Roman"/>
          <w:b/>
          <w:color w:val="2E74B5" w:themeColor="accent1" w:themeShade="BF"/>
          <w:sz w:val="24"/>
        </w:rPr>
        <w:br/>
        <w:t>QUALITY BASE LEVEL GREEN STANDARDS</w:t>
      </w:r>
    </w:p>
    <w:p w:rsidR="00804386" w:rsidRPr="0022142D" w:rsidRDefault="00804386" w:rsidP="00804386">
      <w:pPr>
        <w:rPr>
          <w:rFonts w:ascii="Times New Roman" w:hAnsi="Times New Roman" w:cs="Times New Roman"/>
        </w:rPr>
      </w:pPr>
      <w:r w:rsidRPr="0022142D">
        <w:rPr>
          <w:rFonts w:ascii="Times New Roman" w:hAnsi="Times New Roman" w:cs="Times New Roman"/>
        </w:rPr>
        <w:t xml:space="preserve"> (</w:t>
      </w:r>
      <w:r>
        <w:rPr>
          <w:rFonts w:ascii="Times New Roman" w:hAnsi="Times New Roman" w:cs="Times New Roman"/>
        </w:rPr>
        <w:t>i</w:t>
      </w:r>
      <w:r w:rsidRPr="0022142D">
        <w:rPr>
          <w:rFonts w:ascii="Times New Roman" w:hAnsi="Times New Roman" w:cs="Times New Roman"/>
        </w:rPr>
        <w:t xml:space="preserve">ncluded </w:t>
      </w:r>
      <w:r>
        <w:rPr>
          <w:rFonts w:ascii="Times New Roman" w:hAnsi="Times New Roman" w:cs="Times New Roman"/>
        </w:rPr>
        <w:t>in</w:t>
      </w:r>
      <w:r w:rsidRPr="0022142D">
        <w:rPr>
          <w:rFonts w:ascii="Times New Roman" w:hAnsi="Times New Roman" w:cs="Times New Roman"/>
        </w:rPr>
        <w:t xml:space="preserve"> Exhibit #3</w:t>
      </w:r>
      <w:r>
        <w:rPr>
          <w:rFonts w:ascii="Times New Roman" w:hAnsi="Times New Roman" w:cs="Times New Roman"/>
        </w:rPr>
        <w:t>2</w:t>
      </w:r>
      <w:r w:rsidRPr="0022142D">
        <w:rPr>
          <w:rFonts w:ascii="Times New Roman" w:hAnsi="Times New Roman" w:cs="Times New Roman"/>
        </w:rPr>
        <w:t>)</w:t>
      </w:r>
    </w:p>
    <w:p w:rsidR="00804386" w:rsidRPr="00AB6246" w:rsidRDefault="00804386" w:rsidP="00804386">
      <w:pPr>
        <w:spacing w:after="60" w:line="240" w:lineRule="auto"/>
        <w:jc w:val="center"/>
        <w:rPr>
          <w:rFonts w:ascii="Times New Roman" w:hAnsi="Times New Roman" w:cs="Times New Roman"/>
          <w:b/>
          <w:sz w:val="24"/>
          <w:szCs w:val="24"/>
          <w:u w:val="single"/>
        </w:rPr>
      </w:pPr>
      <w:r w:rsidRPr="00AB6246">
        <w:rPr>
          <w:rFonts w:ascii="Times New Roman" w:hAnsi="Times New Roman" w:cs="Times New Roman"/>
          <w:b/>
          <w:sz w:val="24"/>
          <w:szCs w:val="24"/>
          <w:u w:val="single"/>
        </w:rPr>
        <w:t>CERTIFICATION</w:t>
      </w:r>
    </w:p>
    <w:p w:rsidR="00AB6246" w:rsidRPr="00401557" w:rsidRDefault="00AB6246" w:rsidP="00804386">
      <w:pPr>
        <w:spacing w:after="60" w:line="240" w:lineRule="auto"/>
        <w:jc w:val="center"/>
        <w:rPr>
          <w:rFonts w:ascii="Times New Roman" w:hAnsi="Times New Roman" w:cs="Times New Roman"/>
          <w:b/>
          <w:u w:val="single"/>
        </w:rPr>
      </w:pPr>
    </w:p>
    <w:p w:rsidR="00804386" w:rsidRDefault="00804386" w:rsidP="00804386">
      <w:pPr>
        <w:spacing w:after="60" w:line="240" w:lineRule="auto"/>
        <w:rPr>
          <w:rFonts w:ascii="Times New Roman" w:hAnsi="Times New Roman" w:cs="Times New Roman"/>
        </w:rPr>
      </w:pPr>
      <w:r w:rsidRPr="0022142D">
        <w:rPr>
          <w:rFonts w:ascii="Times New Roman" w:hAnsi="Times New Roman" w:cs="Times New Roman"/>
        </w:rPr>
        <w:t xml:space="preserve">The undersigned applicant hereby makes application to the Low Income Housing Tax Credit </w:t>
      </w:r>
      <w:r>
        <w:rPr>
          <w:rFonts w:ascii="Times New Roman" w:hAnsi="Times New Roman" w:cs="Times New Roman"/>
        </w:rPr>
        <w:t xml:space="preserve">program </w:t>
      </w:r>
      <w:r w:rsidRPr="0022142D">
        <w:rPr>
          <w:rFonts w:ascii="Times New Roman" w:hAnsi="Times New Roman" w:cs="Times New Roman"/>
        </w:rPr>
        <w:t xml:space="preserve">with the Delaware State Housing Authority (DSHA) for a loan and/or tax credits pursuant to one or more of the DSHA’s Housing Development/HOME Programs and certifies that the following development Base Level Green Standards will be incorporated into the project design and final work product: </w:t>
      </w:r>
    </w:p>
    <w:p w:rsidR="00AB6246" w:rsidRDefault="00AB6246" w:rsidP="00804386">
      <w:pPr>
        <w:spacing w:after="60" w:line="240" w:lineRule="auto"/>
        <w:rPr>
          <w:rFonts w:ascii="Times New Roman" w:hAnsi="Times New Roman" w:cs="Times New Roman"/>
        </w:rPr>
      </w:pPr>
    </w:p>
    <w:p w:rsidR="00804386" w:rsidRPr="0022142D" w:rsidRDefault="00804386" w:rsidP="00804386">
      <w:pPr>
        <w:numPr>
          <w:ilvl w:val="0"/>
          <w:numId w:val="1"/>
        </w:numPr>
        <w:spacing w:after="60" w:line="240" w:lineRule="auto"/>
        <w:rPr>
          <w:rFonts w:ascii="Times New Roman" w:hAnsi="Times New Roman" w:cs="Times New Roman"/>
        </w:rPr>
      </w:pPr>
      <w:r w:rsidRPr="0022142D">
        <w:rPr>
          <w:rFonts w:ascii="Times New Roman" w:hAnsi="Times New Roman" w:cs="Times New Roman"/>
          <w:b/>
        </w:rPr>
        <w:t>Demolition Plan</w:t>
      </w:r>
      <w:r w:rsidRPr="0022142D">
        <w:rPr>
          <w:rFonts w:ascii="Times New Roman" w:hAnsi="Times New Roman" w:cs="Times New Roman"/>
        </w:rPr>
        <w:t>:</w:t>
      </w:r>
      <w:r>
        <w:rPr>
          <w:rFonts w:ascii="Times New Roman" w:hAnsi="Times New Roman" w:cs="Times New Roman"/>
          <w:b/>
        </w:rPr>
        <w:t xml:space="preserve"> </w:t>
      </w:r>
      <w:r w:rsidRPr="0022142D">
        <w:rPr>
          <w:rFonts w:ascii="Times New Roman" w:hAnsi="Times New Roman" w:cs="Times New Roman"/>
        </w:rPr>
        <w:t>On projects where demolition will occur, submit a demolition plan which identifies sound practices for managing waste and hazardous materials. Specify methods which are environmentally sensitive and create less pollution. Identify opportunities for recycling</w:t>
      </w:r>
      <w:r>
        <w:rPr>
          <w:rFonts w:ascii="Times New Roman" w:hAnsi="Times New Roman" w:cs="Times New Roman"/>
        </w:rPr>
        <w:t>;</w:t>
      </w:r>
      <w:r w:rsidRPr="0022142D">
        <w:rPr>
          <w:rFonts w:ascii="Times New Roman" w:hAnsi="Times New Roman" w:cs="Times New Roman"/>
        </w:rPr>
        <w:t xml:space="preserve"> </w:t>
      </w:r>
    </w:p>
    <w:p w:rsidR="00804386" w:rsidRPr="0022142D" w:rsidRDefault="00804386" w:rsidP="00804386">
      <w:pPr>
        <w:numPr>
          <w:ilvl w:val="0"/>
          <w:numId w:val="1"/>
        </w:numPr>
        <w:spacing w:after="60" w:line="240" w:lineRule="auto"/>
        <w:rPr>
          <w:rFonts w:ascii="Times New Roman" w:hAnsi="Times New Roman" w:cs="Times New Roman"/>
        </w:rPr>
      </w:pPr>
      <w:r>
        <w:rPr>
          <w:rFonts w:ascii="Times New Roman" w:hAnsi="Times New Roman" w:cs="Times New Roman"/>
          <w:b/>
        </w:rPr>
        <w:t>Chlorofluorocarbons (CFC)</w:t>
      </w:r>
      <w:r w:rsidRPr="0022142D">
        <w:rPr>
          <w:rFonts w:ascii="Times New Roman" w:hAnsi="Times New Roman" w:cs="Times New Roman"/>
        </w:rPr>
        <w:t>: Where new HVAC equipment is specified, there will be no use of CFC refrigerant. Where CFC refrigerant equipment is being removed, specify standards for capturing and disposal of CFC materials. For retained CFC refrigerant equipment, include a comprehensive inspection, maintenance and phase out or conversion plan</w:t>
      </w:r>
      <w:r>
        <w:rPr>
          <w:rFonts w:ascii="Times New Roman" w:hAnsi="Times New Roman" w:cs="Times New Roman"/>
        </w:rPr>
        <w:t>;</w:t>
      </w:r>
      <w:r w:rsidRPr="0022142D">
        <w:rPr>
          <w:rFonts w:ascii="Times New Roman" w:hAnsi="Times New Roman" w:cs="Times New Roman"/>
        </w:rPr>
        <w:t xml:space="preserve"> </w:t>
      </w:r>
    </w:p>
    <w:p w:rsidR="00804386" w:rsidRPr="0022142D" w:rsidRDefault="00804386" w:rsidP="00804386">
      <w:pPr>
        <w:numPr>
          <w:ilvl w:val="0"/>
          <w:numId w:val="1"/>
        </w:numPr>
        <w:spacing w:after="60" w:line="240" w:lineRule="auto"/>
        <w:rPr>
          <w:rFonts w:ascii="Times New Roman" w:hAnsi="Times New Roman" w:cs="Times New Roman"/>
        </w:rPr>
      </w:pPr>
      <w:r w:rsidRPr="0022142D">
        <w:rPr>
          <w:rFonts w:ascii="Times New Roman" w:hAnsi="Times New Roman" w:cs="Times New Roman"/>
          <w:b/>
        </w:rPr>
        <w:t>Site work</w:t>
      </w:r>
      <w:r>
        <w:rPr>
          <w:rFonts w:ascii="Times New Roman" w:hAnsi="Times New Roman" w:cs="Times New Roman"/>
        </w:rPr>
        <w:t xml:space="preserve">: </w:t>
      </w:r>
      <w:r w:rsidRPr="0022142D">
        <w:rPr>
          <w:rFonts w:ascii="Times New Roman" w:hAnsi="Times New Roman" w:cs="Times New Roman"/>
        </w:rPr>
        <w:t>Employ State of Delaware Standards for Soil Erosion and Sediment Control during construction. Limit area of disturbance to immediate work area. Site work anticipated in non-optimum conditions such as wet, freezing or poor drying periods must be completed with the approval and direction of the geotechnical engineer. In addition to reviewing the cost and schedule benefits of such work, the engineer must consider the potential for adverse environmental impact. Limit access to the site when vehicles or construction activity e</w:t>
      </w:r>
      <w:r>
        <w:rPr>
          <w:rFonts w:ascii="Times New Roman" w:hAnsi="Times New Roman" w:cs="Times New Roman"/>
        </w:rPr>
        <w:t>nvironmentally degrade the site;</w:t>
      </w:r>
    </w:p>
    <w:p w:rsidR="00804386" w:rsidRPr="0022142D" w:rsidRDefault="00804386" w:rsidP="00804386">
      <w:pPr>
        <w:numPr>
          <w:ilvl w:val="0"/>
          <w:numId w:val="1"/>
        </w:numPr>
        <w:spacing w:after="60" w:line="240" w:lineRule="auto"/>
        <w:rPr>
          <w:rFonts w:ascii="Times New Roman" w:hAnsi="Times New Roman" w:cs="Times New Roman"/>
        </w:rPr>
      </w:pPr>
      <w:r w:rsidRPr="0022142D">
        <w:rPr>
          <w:rFonts w:ascii="Times New Roman" w:hAnsi="Times New Roman" w:cs="Times New Roman"/>
          <w:b/>
        </w:rPr>
        <w:t>Landscaping</w:t>
      </w:r>
      <w:r w:rsidRPr="0022142D">
        <w:rPr>
          <w:rFonts w:ascii="Times New Roman" w:hAnsi="Times New Roman" w:cs="Times New Roman"/>
        </w:rPr>
        <w:t>:</w:t>
      </w:r>
      <w:r w:rsidRPr="0022142D">
        <w:rPr>
          <w:rFonts w:ascii="Times New Roman" w:hAnsi="Times New Roman" w:cs="Times New Roman"/>
          <w:b/>
        </w:rPr>
        <w:t xml:space="preserve"> </w:t>
      </w:r>
      <w:r w:rsidRPr="0022142D">
        <w:rPr>
          <w:rFonts w:ascii="Times New Roman" w:hAnsi="Times New Roman" w:cs="Times New Roman"/>
        </w:rPr>
        <w:t xml:space="preserve">New plantings shall utilize at least </w:t>
      </w:r>
      <w:r>
        <w:rPr>
          <w:rFonts w:ascii="Times New Roman" w:hAnsi="Times New Roman" w:cs="Times New Roman"/>
        </w:rPr>
        <w:t>fifty (</w:t>
      </w:r>
      <w:r w:rsidRPr="0022142D">
        <w:rPr>
          <w:rFonts w:ascii="Times New Roman" w:hAnsi="Times New Roman" w:cs="Times New Roman"/>
        </w:rPr>
        <w:t>50</w:t>
      </w:r>
      <w:r>
        <w:rPr>
          <w:rFonts w:ascii="Times New Roman" w:hAnsi="Times New Roman" w:cs="Times New Roman"/>
        </w:rPr>
        <w:t>)</w:t>
      </w:r>
      <w:r w:rsidRPr="0022142D">
        <w:rPr>
          <w:rFonts w:ascii="Times New Roman" w:hAnsi="Times New Roman" w:cs="Times New Roman"/>
        </w:rPr>
        <w:t xml:space="preserve"> percent native plantings. Select native, highly suitable, drought /disease tolerant plantings suitable for the project soil and microclimate. Where there are healthy large existing trees, make considerations for preserving mature trees in the site plan. Utilize shade, windbreak and screening benefits of plantings in the project design. Protect trees during construction</w:t>
      </w:r>
      <w:r>
        <w:rPr>
          <w:rFonts w:ascii="Times New Roman" w:hAnsi="Times New Roman" w:cs="Times New Roman"/>
        </w:rPr>
        <w:t>;</w:t>
      </w:r>
    </w:p>
    <w:p w:rsidR="00804386" w:rsidRPr="0022142D" w:rsidRDefault="00804386" w:rsidP="00804386">
      <w:pPr>
        <w:numPr>
          <w:ilvl w:val="0"/>
          <w:numId w:val="1"/>
        </w:numPr>
        <w:spacing w:after="60" w:line="240" w:lineRule="auto"/>
        <w:rPr>
          <w:rFonts w:ascii="Times New Roman" w:hAnsi="Times New Roman" w:cs="Times New Roman"/>
        </w:rPr>
      </w:pPr>
      <w:r w:rsidRPr="0022142D">
        <w:rPr>
          <w:rFonts w:ascii="Times New Roman" w:hAnsi="Times New Roman" w:cs="Times New Roman"/>
          <w:b/>
        </w:rPr>
        <w:t>Moisture and Mildew</w:t>
      </w:r>
      <w:r>
        <w:rPr>
          <w:rFonts w:ascii="Times New Roman" w:hAnsi="Times New Roman" w:cs="Times New Roman"/>
        </w:rPr>
        <w:t>:</w:t>
      </w:r>
      <w:r w:rsidRPr="0022142D">
        <w:rPr>
          <w:rFonts w:ascii="Times New Roman" w:hAnsi="Times New Roman" w:cs="Times New Roman"/>
          <w:b/>
        </w:rPr>
        <w:t xml:space="preserve"> </w:t>
      </w:r>
      <w:r w:rsidRPr="0022142D">
        <w:rPr>
          <w:rFonts w:ascii="Times New Roman" w:hAnsi="Times New Roman" w:cs="Times New Roman"/>
        </w:rPr>
        <w:t>Correct all observed areas of mold, mildew and moisture infiltration within the building. On existing structures or environmental report will identify these areas. Identify remedies and a</w:t>
      </w:r>
      <w:r>
        <w:rPr>
          <w:rFonts w:ascii="Times New Roman" w:hAnsi="Times New Roman" w:cs="Times New Roman"/>
        </w:rPr>
        <w:t>ccepted practices for treatment;</w:t>
      </w:r>
    </w:p>
    <w:p w:rsidR="00804386" w:rsidRPr="0022142D" w:rsidRDefault="00804386" w:rsidP="00804386">
      <w:pPr>
        <w:numPr>
          <w:ilvl w:val="0"/>
          <w:numId w:val="1"/>
        </w:numPr>
        <w:spacing w:after="60" w:line="240" w:lineRule="auto"/>
        <w:rPr>
          <w:rFonts w:ascii="Times New Roman" w:hAnsi="Times New Roman" w:cs="Times New Roman"/>
        </w:rPr>
      </w:pPr>
      <w:r w:rsidRPr="0022142D">
        <w:rPr>
          <w:rFonts w:ascii="Times New Roman" w:hAnsi="Times New Roman" w:cs="Times New Roman"/>
          <w:b/>
        </w:rPr>
        <w:t>Radon Gas</w:t>
      </w:r>
      <w:r>
        <w:rPr>
          <w:rFonts w:ascii="Times New Roman" w:hAnsi="Times New Roman" w:cs="Times New Roman"/>
        </w:rPr>
        <w:t>:</w:t>
      </w:r>
      <w:r w:rsidRPr="0022142D">
        <w:rPr>
          <w:rFonts w:ascii="Times New Roman" w:hAnsi="Times New Roman" w:cs="Times New Roman"/>
          <w:b/>
        </w:rPr>
        <w:t xml:space="preserve"> </w:t>
      </w:r>
      <w:r w:rsidRPr="0022142D">
        <w:rPr>
          <w:rFonts w:ascii="Times New Roman" w:hAnsi="Times New Roman" w:cs="Times New Roman"/>
        </w:rPr>
        <w:t>For Projects located in EPA Radon Area Zone 1</w:t>
      </w:r>
      <w:r>
        <w:rPr>
          <w:rFonts w:ascii="Times New Roman" w:hAnsi="Times New Roman" w:cs="Times New Roman"/>
        </w:rPr>
        <w:t>,</w:t>
      </w:r>
      <w:r w:rsidRPr="0022142D">
        <w:rPr>
          <w:rFonts w:ascii="Times New Roman" w:hAnsi="Times New Roman" w:cs="Times New Roman"/>
        </w:rPr>
        <w:t xml:space="preserve"> install a passive radon gas reduction pipe system with vertical venting convertible to mechanical venting unless testing indicates there is no radon gas hazard as determined by EPA standard. This requirement is only for projects where radon </w:t>
      </w:r>
      <w:r>
        <w:rPr>
          <w:rFonts w:ascii="Times New Roman" w:hAnsi="Times New Roman" w:cs="Times New Roman"/>
        </w:rPr>
        <w:t>gas poses a legitimate hazard;</w:t>
      </w:r>
    </w:p>
    <w:p w:rsidR="00804386" w:rsidRDefault="00804386" w:rsidP="00804386">
      <w:pPr>
        <w:numPr>
          <w:ilvl w:val="0"/>
          <w:numId w:val="1"/>
        </w:numPr>
        <w:spacing w:after="60" w:line="240" w:lineRule="auto"/>
        <w:rPr>
          <w:rFonts w:ascii="Times New Roman" w:hAnsi="Times New Roman" w:cs="Times New Roman"/>
        </w:rPr>
      </w:pPr>
      <w:r w:rsidRPr="0022142D">
        <w:rPr>
          <w:rFonts w:ascii="Times New Roman" w:hAnsi="Times New Roman" w:cs="Times New Roman"/>
          <w:b/>
        </w:rPr>
        <w:t>Water Conserving Features</w:t>
      </w:r>
      <w:r>
        <w:rPr>
          <w:rFonts w:ascii="Times New Roman" w:hAnsi="Times New Roman" w:cs="Times New Roman"/>
        </w:rPr>
        <w:t>:</w:t>
      </w:r>
      <w:r w:rsidRPr="0022142D">
        <w:rPr>
          <w:rFonts w:ascii="Times New Roman" w:hAnsi="Times New Roman" w:cs="Times New Roman"/>
        </w:rPr>
        <w:t xml:space="preserve"> Project water fixtures and faucets conserve water. Reduce water consumption by installing water-conserving fixtures in all units and all common space bathrooms with the following specifications: </w:t>
      </w:r>
    </w:p>
    <w:p w:rsidR="00804386" w:rsidRDefault="00804386" w:rsidP="00804386">
      <w:pPr>
        <w:pStyle w:val="ListParagraph"/>
        <w:numPr>
          <w:ilvl w:val="0"/>
          <w:numId w:val="2"/>
        </w:numPr>
        <w:spacing w:after="60" w:line="240" w:lineRule="auto"/>
        <w:rPr>
          <w:rFonts w:ascii="Times New Roman" w:hAnsi="Times New Roman" w:cs="Times New Roman"/>
        </w:rPr>
      </w:pPr>
      <w:r w:rsidRPr="0022142D">
        <w:rPr>
          <w:rFonts w:ascii="Times New Roman" w:hAnsi="Times New Roman" w:cs="Times New Roman"/>
        </w:rPr>
        <w:t xml:space="preserve">Toilets:  </w:t>
      </w:r>
      <w:proofErr w:type="spellStart"/>
      <w:r w:rsidRPr="0022142D">
        <w:rPr>
          <w:rFonts w:ascii="Times New Roman" w:hAnsi="Times New Roman" w:cs="Times New Roman"/>
        </w:rPr>
        <w:t>WaterSense</w:t>
      </w:r>
      <w:proofErr w:type="spellEnd"/>
      <w:r w:rsidRPr="0022142D">
        <w:rPr>
          <w:rFonts w:ascii="Times New Roman" w:hAnsi="Times New Roman" w:cs="Times New Roman"/>
        </w:rPr>
        <w:t>-labeled and 1</w:t>
      </w:r>
      <w:r w:rsidR="004A3C4D">
        <w:rPr>
          <w:rFonts w:ascii="Times New Roman" w:hAnsi="Times New Roman" w:cs="Times New Roman"/>
        </w:rPr>
        <w:t>.</w:t>
      </w:r>
      <w:r w:rsidR="00825DDE">
        <w:rPr>
          <w:rFonts w:ascii="Times New Roman" w:hAnsi="Times New Roman" w:cs="Times New Roman"/>
        </w:rPr>
        <w:t>28</w:t>
      </w:r>
      <w:r w:rsidRPr="0022142D">
        <w:rPr>
          <w:rFonts w:ascii="Times New Roman" w:hAnsi="Times New Roman" w:cs="Times New Roman"/>
        </w:rPr>
        <w:t xml:space="preserve"> </w:t>
      </w:r>
      <w:proofErr w:type="spellStart"/>
      <w:r w:rsidRPr="0022142D">
        <w:rPr>
          <w:rFonts w:ascii="Times New Roman" w:hAnsi="Times New Roman" w:cs="Times New Roman"/>
        </w:rPr>
        <w:t>gpf</w:t>
      </w:r>
      <w:proofErr w:type="spellEnd"/>
      <w:r w:rsidRPr="0022142D">
        <w:rPr>
          <w:rFonts w:ascii="Times New Roman" w:hAnsi="Times New Roman" w:cs="Times New Roman"/>
        </w:rPr>
        <w:t xml:space="preserve">; </w:t>
      </w:r>
    </w:p>
    <w:p w:rsidR="00804386" w:rsidRDefault="00804386" w:rsidP="00804386">
      <w:pPr>
        <w:pStyle w:val="ListParagraph"/>
        <w:numPr>
          <w:ilvl w:val="0"/>
          <w:numId w:val="2"/>
        </w:numPr>
        <w:spacing w:after="60" w:line="240" w:lineRule="auto"/>
        <w:rPr>
          <w:rFonts w:ascii="Times New Roman" w:hAnsi="Times New Roman" w:cs="Times New Roman"/>
        </w:rPr>
      </w:pPr>
      <w:r w:rsidRPr="0022142D">
        <w:rPr>
          <w:rFonts w:ascii="Times New Roman" w:hAnsi="Times New Roman" w:cs="Times New Roman"/>
        </w:rPr>
        <w:t xml:space="preserve">Showerheads:  </w:t>
      </w:r>
      <w:proofErr w:type="spellStart"/>
      <w:r w:rsidRPr="0022142D">
        <w:rPr>
          <w:rFonts w:ascii="Times New Roman" w:hAnsi="Times New Roman" w:cs="Times New Roman"/>
        </w:rPr>
        <w:t>WaterSense</w:t>
      </w:r>
      <w:proofErr w:type="spellEnd"/>
      <w:r w:rsidRPr="0022142D">
        <w:rPr>
          <w:rFonts w:ascii="Times New Roman" w:hAnsi="Times New Roman" w:cs="Times New Roman"/>
        </w:rPr>
        <w:t xml:space="preserve">-labeled and </w:t>
      </w:r>
      <w:r w:rsidR="00825DDE">
        <w:rPr>
          <w:rFonts w:ascii="Times New Roman" w:hAnsi="Times New Roman" w:cs="Times New Roman"/>
        </w:rPr>
        <w:t>1.75</w:t>
      </w:r>
      <w:r w:rsidRPr="0022142D">
        <w:rPr>
          <w:rFonts w:ascii="Times New Roman" w:hAnsi="Times New Roman" w:cs="Times New Roman"/>
        </w:rPr>
        <w:t xml:space="preserve"> </w:t>
      </w:r>
      <w:proofErr w:type="spellStart"/>
      <w:r w:rsidRPr="0022142D">
        <w:rPr>
          <w:rFonts w:ascii="Times New Roman" w:hAnsi="Times New Roman" w:cs="Times New Roman"/>
        </w:rPr>
        <w:t>gpf</w:t>
      </w:r>
      <w:proofErr w:type="spellEnd"/>
      <w:r w:rsidRPr="0022142D">
        <w:rPr>
          <w:rFonts w:ascii="Times New Roman" w:hAnsi="Times New Roman" w:cs="Times New Roman"/>
        </w:rPr>
        <w:t xml:space="preserve">; </w:t>
      </w:r>
      <w:bookmarkStart w:id="0" w:name="_GoBack"/>
      <w:bookmarkEnd w:id="0"/>
    </w:p>
    <w:p w:rsidR="00804386" w:rsidRDefault="00804386" w:rsidP="00804386">
      <w:pPr>
        <w:pStyle w:val="ListParagraph"/>
        <w:numPr>
          <w:ilvl w:val="0"/>
          <w:numId w:val="2"/>
        </w:numPr>
        <w:spacing w:after="60" w:line="240" w:lineRule="auto"/>
        <w:rPr>
          <w:rFonts w:ascii="Times New Roman" w:hAnsi="Times New Roman" w:cs="Times New Roman"/>
        </w:rPr>
      </w:pPr>
      <w:r w:rsidRPr="0022142D">
        <w:rPr>
          <w:rFonts w:ascii="Times New Roman" w:hAnsi="Times New Roman" w:cs="Times New Roman"/>
        </w:rPr>
        <w:t>K</w:t>
      </w:r>
      <w:r>
        <w:rPr>
          <w:rFonts w:ascii="Times New Roman" w:hAnsi="Times New Roman" w:cs="Times New Roman"/>
        </w:rPr>
        <w:t>i</w:t>
      </w:r>
      <w:r w:rsidRPr="0022142D">
        <w:rPr>
          <w:rFonts w:ascii="Times New Roman" w:hAnsi="Times New Roman" w:cs="Times New Roman"/>
        </w:rPr>
        <w:t xml:space="preserve">tchen faucets:  2.0 </w:t>
      </w:r>
      <w:proofErr w:type="spellStart"/>
      <w:r w:rsidRPr="0022142D">
        <w:rPr>
          <w:rFonts w:ascii="Times New Roman" w:hAnsi="Times New Roman" w:cs="Times New Roman"/>
        </w:rPr>
        <w:t>gpm</w:t>
      </w:r>
      <w:proofErr w:type="spellEnd"/>
      <w:r>
        <w:rPr>
          <w:rFonts w:ascii="Times New Roman" w:hAnsi="Times New Roman" w:cs="Times New Roman"/>
        </w:rPr>
        <w:t>;</w:t>
      </w:r>
    </w:p>
    <w:p w:rsidR="00804386" w:rsidRDefault="00804386" w:rsidP="00804386">
      <w:pPr>
        <w:pStyle w:val="ListParagraph"/>
        <w:numPr>
          <w:ilvl w:val="0"/>
          <w:numId w:val="2"/>
        </w:numPr>
        <w:spacing w:after="60" w:line="240" w:lineRule="auto"/>
        <w:rPr>
          <w:rFonts w:ascii="Times New Roman" w:hAnsi="Times New Roman" w:cs="Times New Roman"/>
        </w:rPr>
      </w:pPr>
      <w:r>
        <w:rPr>
          <w:rFonts w:ascii="Times New Roman" w:hAnsi="Times New Roman" w:cs="Times New Roman"/>
        </w:rPr>
        <w:t>B</w:t>
      </w:r>
      <w:r w:rsidRPr="0022142D">
        <w:rPr>
          <w:rFonts w:ascii="Times New Roman" w:hAnsi="Times New Roman" w:cs="Times New Roman"/>
        </w:rPr>
        <w:t xml:space="preserve">athroom faucets:  </w:t>
      </w:r>
      <w:proofErr w:type="spellStart"/>
      <w:r w:rsidRPr="0022142D">
        <w:rPr>
          <w:rFonts w:ascii="Times New Roman" w:hAnsi="Times New Roman" w:cs="Times New Roman"/>
        </w:rPr>
        <w:t>WaterSense</w:t>
      </w:r>
      <w:proofErr w:type="spellEnd"/>
      <w:r w:rsidRPr="0022142D">
        <w:rPr>
          <w:rFonts w:ascii="Times New Roman" w:hAnsi="Times New Roman" w:cs="Times New Roman"/>
        </w:rPr>
        <w:t xml:space="preserve">-labeled and </w:t>
      </w:r>
      <w:r w:rsidR="00825DDE">
        <w:rPr>
          <w:rFonts w:ascii="Times New Roman" w:hAnsi="Times New Roman" w:cs="Times New Roman"/>
        </w:rPr>
        <w:t>1.5</w:t>
      </w:r>
      <w:r w:rsidRPr="0022142D">
        <w:rPr>
          <w:rFonts w:ascii="Times New Roman" w:hAnsi="Times New Roman" w:cs="Times New Roman"/>
        </w:rPr>
        <w:t>0gpf</w:t>
      </w:r>
      <w:r>
        <w:rPr>
          <w:rFonts w:ascii="Times New Roman" w:hAnsi="Times New Roman" w:cs="Times New Roman"/>
        </w:rPr>
        <w:t>;</w:t>
      </w:r>
      <w:r w:rsidRPr="0022142D">
        <w:rPr>
          <w:rFonts w:ascii="Times New Roman" w:hAnsi="Times New Roman" w:cs="Times New Roman"/>
        </w:rPr>
        <w:t xml:space="preserve"> and </w:t>
      </w:r>
    </w:p>
    <w:p w:rsidR="00804386" w:rsidRPr="0022142D" w:rsidRDefault="00804386" w:rsidP="00804386">
      <w:pPr>
        <w:pStyle w:val="ListParagraph"/>
        <w:numPr>
          <w:ilvl w:val="0"/>
          <w:numId w:val="2"/>
        </w:numPr>
        <w:spacing w:after="60" w:line="240" w:lineRule="auto"/>
        <w:rPr>
          <w:rFonts w:ascii="Times New Roman" w:hAnsi="Times New Roman" w:cs="Times New Roman"/>
        </w:rPr>
      </w:pPr>
      <w:r>
        <w:rPr>
          <w:rFonts w:ascii="Times New Roman" w:hAnsi="Times New Roman" w:cs="Times New Roman"/>
        </w:rPr>
        <w:t>All f</w:t>
      </w:r>
      <w:r w:rsidRPr="0022142D">
        <w:rPr>
          <w:rFonts w:ascii="Times New Roman" w:hAnsi="Times New Roman" w:cs="Times New Roman"/>
        </w:rPr>
        <w:t>aucet aerators</w:t>
      </w:r>
      <w:r>
        <w:rPr>
          <w:rFonts w:ascii="Times New Roman" w:hAnsi="Times New Roman" w:cs="Times New Roman"/>
        </w:rPr>
        <w:t>:</w:t>
      </w:r>
      <w:r w:rsidRPr="0022142D">
        <w:rPr>
          <w:rFonts w:ascii="Times New Roman" w:hAnsi="Times New Roman" w:cs="Times New Roman"/>
        </w:rPr>
        <w:t xml:space="preserve"> 0.5 </w:t>
      </w:r>
      <w:proofErr w:type="spellStart"/>
      <w:r w:rsidRPr="0022142D">
        <w:rPr>
          <w:rFonts w:ascii="Times New Roman" w:hAnsi="Times New Roman" w:cs="Times New Roman"/>
        </w:rPr>
        <w:t>g.p.m</w:t>
      </w:r>
      <w:proofErr w:type="spellEnd"/>
      <w:r w:rsidRPr="0022142D">
        <w:rPr>
          <w:rFonts w:ascii="Times New Roman" w:hAnsi="Times New Roman" w:cs="Times New Roman"/>
        </w:rPr>
        <w:t xml:space="preserve">.  </w:t>
      </w:r>
    </w:p>
    <w:p w:rsidR="00804386" w:rsidRPr="008F3E0B" w:rsidRDefault="00804386" w:rsidP="00804386">
      <w:pPr>
        <w:numPr>
          <w:ilvl w:val="0"/>
          <w:numId w:val="1"/>
        </w:numPr>
        <w:spacing w:after="60" w:line="240" w:lineRule="auto"/>
        <w:rPr>
          <w:rFonts w:ascii="Times New Roman" w:hAnsi="Times New Roman" w:cs="Times New Roman"/>
        </w:rPr>
      </w:pPr>
      <w:r w:rsidRPr="0022142D">
        <w:rPr>
          <w:rFonts w:ascii="Times New Roman" w:hAnsi="Times New Roman" w:cs="Times New Roman"/>
          <w:b/>
        </w:rPr>
        <w:t>Smoking Areas</w:t>
      </w:r>
      <w:r w:rsidRPr="0022142D">
        <w:rPr>
          <w:rFonts w:ascii="Times New Roman" w:hAnsi="Times New Roman" w:cs="Times New Roman"/>
        </w:rPr>
        <w:t>:</w:t>
      </w:r>
      <w:r w:rsidRPr="0022142D">
        <w:rPr>
          <w:rFonts w:ascii="Times New Roman" w:hAnsi="Times New Roman" w:cs="Times New Roman"/>
          <w:b/>
        </w:rPr>
        <w:t xml:space="preserve"> </w:t>
      </w:r>
      <w:r w:rsidRPr="0022142D">
        <w:rPr>
          <w:rFonts w:ascii="Times New Roman" w:hAnsi="Times New Roman" w:cs="Times New Roman"/>
        </w:rPr>
        <w:t>Designate permitted smoking areas. Locate outside smoking areas at least 25 ft. away from entry air intakes and residents’ windows. No smoking in</w:t>
      </w:r>
      <w:r>
        <w:rPr>
          <w:rFonts w:ascii="Times New Roman" w:hAnsi="Times New Roman" w:cs="Times New Roman"/>
        </w:rPr>
        <w:t xml:space="preserve"> building interior common areas;</w:t>
      </w:r>
    </w:p>
    <w:p w:rsidR="00804386" w:rsidRPr="0022142D" w:rsidRDefault="00804386" w:rsidP="00804386">
      <w:pPr>
        <w:numPr>
          <w:ilvl w:val="0"/>
          <w:numId w:val="1"/>
        </w:numPr>
        <w:spacing w:after="60" w:line="240" w:lineRule="auto"/>
        <w:rPr>
          <w:rFonts w:ascii="Times New Roman" w:hAnsi="Times New Roman" w:cs="Times New Roman"/>
          <w:b/>
        </w:rPr>
      </w:pPr>
      <w:r w:rsidRPr="0022142D">
        <w:rPr>
          <w:rFonts w:ascii="Times New Roman" w:hAnsi="Times New Roman" w:cs="Times New Roman"/>
          <w:b/>
        </w:rPr>
        <w:lastRenderedPageBreak/>
        <w:t>Large parking lot</w:t>
      </w:r>
      <w:r>
        <w:rPr>
          <w:rFonts w:ascii="Times New Roman" w:hAnsi="Times New Roman" w:cs="Times New Roman"/>
          <w:b/>
        </w:rPr>
        <w:t>s shall include planting areas;</w:t>
      </w:r>
      <w:r w:rsidRPr="0022142D">
        <w:rPr>
          <w:rFonts w:ascii="Times New Roman" w:hAnsi="Times New Roman" w:cs="Times New Roman"/>
          <w:b/>
        </w:rPr>
        <w:t xml:space="preserve"> </w:t>
      </w:r>
    </w:p>
    <w:p w:rsidR="00804386" w:rsidRPr="0022142D" w:rsidRDefault="00804386" w:rsidP="00804386">
      <w:pPr>
        <w:numPr>
          <w:ilvl w:val="0"/>
          <w:numId w:val="1"/>
        </w:numPr>
        <w:spacing w:after="60" w:line="240" w:lineRule="auto"/>
        <w:rPr>
          <w:rFonts w:ascii="Times New Roman" w:hAnsi="Times New Roman" w:cs="Times New Roman"/>
        </w:rPr>
      </w:pPr>
      <w:r w:rsidRPr="0022142D">
        <w:rPr>
          <w:rFonts w:ascii="Times New Roman" w:hAnsi="Times New Roman" w:cs="Times New Roman"/>
          <w:b/>
        </w:rPr>
        <w:t>Exhaust fans</w:t>
      </w:r>
      <w:r w:rsidRPr="0022142D">
        <w:rPr>
          <w:rFonts w:ascii="Times New Roman" w:hAnsi="Times New Roman" w:cs="Times New Roman"/>
        </w:rPr>
        <w:t xml:space="preserve"> for all bathrooms shall be low speed/low noise, continuous exhaust fan (hard wired)</w:t>
      </w:r>
      <w:r>
        <w:rPr>
          <w:rFonts w:ascii="Times New Roman" w:hAnsi="Times New Roman" w:cs="Times New Roman"/>
        </w:rPr>
        <w:t>;</w:t>
      </w:r>
    </w:p>
    <w:p w:rsidR="00804386" w:rsidRPr="0022142D" w:rsidRDefault="00804386" w:rsidP="00804386">
      <w:pPr>
        <w:numPr>
          <w:ilvl w:val="0"/>
          <w:numId w:val="1"/>
        </w:numPr>
        <w:spacing w:after="60" w:line="240" w:lineRule="auto"/>
        <w:rPr>
          <w:rFonts w:ascii="Times New Roman" w:hAnsi="Times New Roman" w:cs="Times New Roman"/>
        </w:rPr>
      </w:pPr>
      <w:r w:rsidRPr="0022142D">
        <w:rPr>
          <w:rFonts w:ascii="Times New Roman" w:hAnsi="Times New Roman" w:cs="Times New Roman"/>
        </w:rPr>
        <w:t xml:space="preserve">Non-mercury programmable </w:t>
      </w:r>
      <w:r>
        <w:rPr>
          <w:rFonts w:ascii="Times New Roman" w:hAnsi="Times New Roman" w:cs="Times New Roman"/>
          <w:b/>
        </w:rPr>
        <w:t>thermostats; and</w:t>
      </w:r>
    </w:p>
    <w:p w:rsidR="00804386" w:rsidRPr="0022142D" w:rsidRDefault="00804386" w:rsidP="00804386">
      <w:pPr>
        <w:numPr>
          <w:ilvl w:val="0"/>
          <w:numId w:val="1"/>
        </w:numPr>
        <w:spacing w:after="60" w:line="240" w:lineRule="auto"/>
        <w:rPr>
          <w:rFonts w:ascii="Times New Roman" w:hAnsi="Times New Roman" w:cs="Times New Roman"/>
          <w:iCs/>
        </w:rPr>
      </w:pPr>
      <w:r w:rsidRPr="0022142D">
        <w:rPr>
          <w:rFonts w:ascii="Times New Roman" w:hAnsi="Times New Roman" w:cs="Times New Roman"/>
          <w:iCs/>
        </w:rPr>
        <w:t>All interior paints and primers shall have low or no VOC levels.</w:t>
      </w:r>
    </w:p>
    <w:p w:rsidR="00804386" w:rsidRDefault="00804386" w:rsidP="00804386">
      <w:pPr>
        <w:spacing w:after="60" w:line="240" w:lineRule="auto"/>
        <w:rPr>
          <w:rFonts w:ascii="Times New Roman" w:hAnsi="Times New Roman" w:cs="Times New Roman"/>
        </w:rPr>
      </w:pPr>
    </w:p>
    <w:p w:rsidR="00804386" w:rsidRDefault="00804386" w:rsidP="00804386">
      <w:pPr>
        <w:spacing w:after="60" w:line="240" w:lineRule="auto"/>
        <w:rPr>
          <w:rFonts w:ascii="Times New Roman" w:hAnsi="Times New Roman" w:cs="Times New Roman"/>
        </w:rPr>
      </w:pPr>
      <w:r w:rsidRPr="0022142D">
        <w:rPr>
          <w:rFonts w:ascii="Times New Roman" w:hAnsi="Times New Roman" w:cs="Times New Roman"/>
        </w:rPr>
        <w:t>IN WITNESS WHEREOF, the applicant has caused this document to be duly e</w:t>
      </w:r>
      <w:r>
        <w:rPr>
          <w:rFonts w:ascii="Times New Roman" w:hAnsi="Times New Roman" w:cs="Times New Roman"/>
        </w:rPr>
        <w:t>xecuted in its name on this date: _____________________________________.</w:t>
      </w:r>
    </w:p>
    <w:p w:rsidR="00AB6246" w:rsidRDefault="00AB6246" w:rsidP="00804386">
      <w:pPr>
        <w:spacing w:after="60" w:line="240" w:lineRule="auto"/>
        <w:rPr>
          <w:rFonts w:ascii="Times New Roman" w:hAnsi="Times New Roman" w:cs="Times New Roman"/>
        </w:rPr>
      </w:pPr>
    </w:p>
    <w:p w:rsidR="00AB6246" w:rsidRDefault="00AB6246" w:rsidP="00804386">
      <w:pPr>
        <w:spacing w:after="60" w:line="240" w:lineRule="auto"/>
        <w:rPr>
          <w:rFonts w:ascii="Times New Roman" w:hAnsi="Times New Roman" w:cs="Times New Roman"/>
        </w:rPr>
      </w:pPr>
    </w:p>
    <w:p w:rsidR="00804386" w:rsidRDefault="00804386" w:rsidP="00804386">
      <w:pPr>
        <w:spacing w:after="60" w:line="240" w:lineRule="auto"/>
        <w:rPr>
          <w:rFonts w:ascii="Times New Roman" w:hAnsi="Times New Roman" w:cs="Times New Roman"/>
        </w:rPr>
      </w:pPr>
    </w:p>
    <w:p w:rsidR="00804386" w:rsidRPr="0022142D" w:rsidRDefault="00804386" w:rsidP="00804386">
      <w:pPr>
        <w:spacing w:after="60" w:line="240" w:lineRule="auto"/>
        <w:rPr>
          <w:rFonts w:ascii="Times New Roman" w:hAnsi="Times New Roman" w:cs="Times New Roman"/>
        </w:rPr>
      </w:pPr>
    </w:p>
    <w:tbl>
      <w:tblPr>
        <w:tblW w:w="0" w:type="auto"/>
        <w:tblLook w:val="04A0" w:firstRow="1" w:lastRow="0" w:firstColumn="1" w:lastColumn="0" w:noHBand="0" w:noVBand="1"/>
      </w:tblPr>
      <w:tblGrid>
        <w:gridCol w:w="4515"/>
        <w:gridCol w:w="355"/>
        <w:gridCol w:w="4490"/>
      </w:tblGrid>
      <w:tr w:rsidR="00804386" w:rsidRPr="0022142D" w:rsidTr="003E779B">
        <w:trPr>
          <w:trHeight w:val="432"/>
        </w:trPr>
        <w:tc>
          <w:tcPr>
            <w:tcW w:w="4608" w:type="dxa"/>
            <w:tcBorders>
              <w:top w:val="single" w:sz="4" w:space="0" w:color="auto"/>
              <w:bottom w:val="single" w:sz="4" w:space="0" w:color="auto"/>
            </w:tcBorders>
          </w:tcPr>
          <w:p w:rsidR="00804386" w:rsidRDefault="00804386" w:rsidP="003E779B">
            <w:pPr>
              <w:rPr>
                <w:rFonts w:ascii="Times New Roman" w:hAnsi="Times New Roman" w:cs="Times New Roman"/>
              </w:rPr>
            </w:pPr>
            <w:r w:rsidRPr="0022142D">
              <w:rPr>
                <w:rFonts w:ascii="Times New Roman" w:hAnsi="Times New Roman" w:cs="Times New Roman"/>
              </w:rPr>
              <w:t xml:space="preserve">(Full legal name of </w:t>
            </w:r>
            <w:r>
              <w:rPr>
                <w:rFonts w:ascii="Times New Roman" w:hAnsi="Times New Roman" w:cs="Times New Roman"/>
              </w:rPr>
              <w:t>Applicant/Owner</w:t>
            </w:r>
            <w:r w:rsidRPr="0022142D">
              <w:rPr>
                <w:rFonts w:ascii="Times New Roman" w:hAnsi="Times New Roman" w:cs="Times New Roman"/>
              </w:rPr>
              <w:t>)</w:t>
            </w:r>
          </w:p>
          <w:p w:rsidR="00804386" w:rsidRPr="0022142D" w:rsidRDefault="00804386" w:rsidP="003E779B">
            <w:pPr>
              <w:rPr>
                <w:rFonts w:ascii="Times New Roman" w:hAnsi="Times New Roman" w:cs="Times New Roman"/>
              </w:rPr>
            </w:pPr>
          </w:p>
        </w:tc>
        <w:tc>
          <w:tcPr>
            <w:tcW w:w="360" w:type="dxa"/>
          </w:tcPr>
          <w:p w:rsidR="00804386" w:rsidRPr="0022142D" w:rsidRDefault="00804386" w:rsidP="003E779B">
            <w:pPr>
              <w:rPr>
                <w:rFonts w:ascii="Times New Roman" w:hAnsi="Times New Roman" w:cs="Times New Roman"/>
              </w:rPr>
            </w:pPr>
          </w:p>
        </w:tc>
        <w:tc>
          <w:tcPr>
            <w:tcW w:w="4608" w:type="dxa"/>
            <w:tcBorders>
              <w:top w:val="single" w:sz="4" w:space="0" w:color="auto"/>
              <w:bottom w:val="single" w:sz="4" w:space="0" w:color="auto"/>
            </w:tcBorders>
          </w:tcPr>
          <w:p w:rsidR="00804386" w:rsidRPr="0022142D" w:rsidRDefault="00804386" w:rsidP="003E779B">
            <w:pPr>
              <w:rPr>
                <w:rFonts w:ascii="Times New Roman" w:hAnsi="Times New Roman" w:cs="Times New Roman"/>
              </w:rPr>
            </w:pPr>
            <w:r w:rsidRPr="0022142D">
              <w:rPr>
                <w:rFonts w:ascii="Times New Roman" w:hAnsi="Times New Roman" w:cs="Times New Roman"/>
              </w:rPr>
              <w:t>(Full legal name of Architect)</w:t>
            </w:r>
          </w:p>
        </w:tc>
      </w:tr>
      <w:tr w:rsidR="00804386" w:rsidRPr="0022142D" w:rsidTr="003E779B">
        <w:trPr>
          <w:trHeight w:val="432"/>
        </w:trPr>
        <w:tc>
          <w:tcPr>
            <w:tcW w:w="4608" w:type="dxa"/>
            <w:tcBorders>
              <w:top w:val="single" w:sz="4" w:space="0" w:color="auto"/>
              <w:bottom w:val="single" w:sz="4" w:space="0" w:color="auto"/>
            </w:tcBorders>
          </w:tcPr>
          <w:p w:rsidR="00804386" w:rsidRPr="0022142D" w:rsidRDefault="00804386" w:rsidP="003E779B">
            <w:pPr>
              <w:rPr>
                <w:rFonts w:ascii="Times New Roman" w:hAnsi="Times New Roman" w:cs="Times New Roman"/>
              </w:rPr>
            </w:pPr>
            <w:r w:rsidRPr="0022142D">
              <w:rPr>
                <w:rFonts w:ascii="Times New Roman" w:hAnsi="Times New Roman" w:cs="Times New Roman"/>
              </w:rPr>
              <w:t>Signature</w:t>
            </w:r>
          </w:p>
        </w:tc>
        <w:tc>
          <w:tcPr>
            <w:tcW w:w="360" w:type="dxa"/>
          </w:tcPr>
          <w:p w:rsidR="00804386" w:rsidRPr="0022142D" w:rsidRDefault="00804386" w:rsidP="003E779B">
            <w:pPr>
              <w:rPr>
                <w:rFonts w:ascii="Times New Roman" w:hAnsi="Times New Roman" w:cs="Times New Roman"/>
              </w:rPr>
            </w:pPr>
          </w:p>
        </w:tc>
        <w:tc>
          <w:tcPr>
            <w:tcW w:w="4608" w:type="dxa"/>
            <w:tcBorders>
              <w:top w:val="single" w:sz="4" w:space="0" w:color="auto"/>
              <w:bottom w:val="single" w:sz="4" w:space="0" w:color="auto"/>
            </w:tcBorders>
          </w:tcPr>
          <w:p w:rsidR="00804386" w:rsidRDefault="00804386" w:rsidP="003E779B">
            <w:pPr>
              <w:rPr>
                <w:rFonts w:ascii="Times New Roman" w:hAnsi="Times New Roman" w:cs="Times New Roman"/>
              </w:rPr>
            </w:pPr>
            <w:r w:rsidRPr="0022142D">
              <w:rPr>
                <w:rFonts w:ascii="Times New Roman" w:hAnsi="Times New Roman" w:cs="Times New Roman"/>
              </w:rPr>
              <w:t>Signature</w:t>
            </w:r>
          </w:p>
          <w:p w:rsidR="00804386" w:rsidRPr="0022142D" w:rsidRDefault="00804386" w:rsidP="003E779B">
            <w:pPr>
              <w:rPr>
                <w:rFonts w:ascii="Times New Roman" w:hAnsi="Times New Roman" w:cs="Times New Roman"/>
              </w:rPr>
            </w:pPr>
          </w:p>
        </w:tc>
      </w:tr>
      <w:tr w:rsidR="00804386" w:rsidRPr="0022142D" w:rsidTr="003E779B">
        <w:trPr>
          <w:trHeight w:val="432"/>
        </w:trPr>
        <w:tc>
          <w:tcPr>
            <w:tcW w:w="4608" w:type="dxa"/>
            <w:tcBorders>
              <w:top w:val="single" w:sz="4" w:space="0" w:color="auto"/>
              <w:bottom w:val="single" w:sz="4" w:space="0" w:color="auto"/>
            </w:tcBorders>
          </w:tcPr>
          <w:p w:rsidR="00804386" w:rsidRPr="0022142D" w:rsidRDefault="00804386" w:rsidP="003E779B">
            <w:pPr>
              <w:rPr>
                <w:rFonts w:ascii="Times New Roman" w:hAnsi="Times New Roman" w:cs="Times New Roman"/>
              </w:rPr>
            </w:pPr>
            <w:r w:rsidRPr="0022142D">
              <w:rPr>
                <w:rFonts w:ascii="Times New Roman" w:hAnsi="Times New Roman" w:cs="Times New Roman"/>
              </w:rPr>
              <w:t>Name</w:t>
            </w:r>
          </w:p>
        </w:tc>
        <w:tc>
          <w:tcPr>
            <w:tcW w:w="360" w:type="dxa"/>
          </w:tcPr>
          <w:p w:rsidR="00804386" w:rsidRPr="0022142D" w:rsidRDefault="00804386" w:rsidP="003E779B">
            <w:pPr>
              <w:rPr>
                <w:rFonts w:ascii="Times New Roman" w:hAnsi="Times New Roman" w:cs="Times New Roman"/>
              </w:rPr>
            </w:pPr>
          </w:p>
        </w:tc>
        <w:tc>
          <w:tcPr>
            <w:tcW w:w="4608" w:type="dxa"/>
            <w:tcBorders>
              <w:top w:val="single" w:sz="4" w:space="0" w:color="auto"/>
              <w:bottom w:val="single" w:sz="4" w:space="0" w:color="auto"/>
            </w:tcBorders>
          </w:tcPr>
          <w:p w:rsidR="00804386" w:rsidRDefault="00804386" w:rsidP="003E779B">
            <w:pPr>
              <w:rPr>
                <w:rFonts w:ascii="Times New Roman" w:hAnsi="Times New Roman" w:cs="Times New Roman"/>
              </w:rPr>
            </w:pPr>
            <w:r w:rsidRPr="0022142D">
              <w:rPr>
                <w:rFonts w:ascii="Times New Roman" w:hAnsi="Times New Roman" w:cs="Times New Roman"/>
              </w:rPr>
              <w:t>Name</w:t>
            </w:r>
          </w:p>
          <w:p w:rsidR="00804386" w:rsidRPr="0022142D" w:rsidRDefault="00804386" w:rsidP="003E779B">
            <w:pPr>
              <w:rPr>
                <w:rFonts w:ascii="Times New Roman" w:hAnsi="Times New Roman" w:cs="Times New Roman"/>
              </w:rPr>
            </w:pPr>
          </w:p>
        </w:tc>
      </w:tr>
      <w:tr w:rsidR="00804386" w:rsidRPr="0022142D" w:rsidTr="003E779B">
        <w:trPr>
          <w:trHeight w:val="432"/>
        </w:trPr>
        <w:tc>
          <w:tcPr>
            <w:tcW w:w="4608" w:type="dxa"/>
            <w:tcBorders>
              <w:top w:val="single" w:sz="4" w:space="0" w:color="auto"/>
            </w:tcBorders>
          </w:tcPr>
          <w:p w:rsidR="00804386" w:rsidRPr="0022142D" w:rsidRDefault="00804386" w:rsidP="003E779B">
            <w:pPr>
              <w:rPr>
                <w:rFonts w:ascii="Times New Roman" w:hAnsi="Times New Roman" w:cs="Times New Roman"/>
              </w:rPr>
            </w:pPr>
            <w:r w:rsidRPr="0022142D">
              <w:rPr>
                <w:rFonts w:ascii="Times New Roman" w:hAnsi="Times New Roman" w:cs="Times New Roman"/>
              </w:rPr>
              <w:t>Title</w:t>
            </w:r>
          </w:p>
        </w:tc>
        <w:tc>
          <w:tcPr>
            <w:tcW w:w="360" w:type="dxa"/>
          </w:tcPr>
          <w:p w:rsidR="00804386" w:rsidRPr="0022142D" w:rsidRDefault="00804386" w:rsidP="003E779B">
            <w:pPr>
              <w:rPr>
                <w:rFonts w:ascii="Times New Roman" w:hAnsi="Times New Roman" w:cs="Times New Roman"/>
              </w:rPr>
            </w:pPr>
          </w:p>
        </w:tc>
        <w:tc>
          <w:tcPr>
            <w:tcW w:w="4608" w:type="dxa"/>
            <w:tcBorders>
              <w:top w:val="single" w:sz="4" w:space="0" w:color="auto"/>
            </w:tcBorders>
          </w:tcPr>
          <w:p w:rsidR="00804386" w:rsidRPr="0022142D" w:rsidRDefault="00804386" w:rsidP="003E779B">
            <w:pPr>
              <w:rPr>
                <w:rFonts w:ascii="Times New Roman" w:hAnsi="Times New Roman" w:cs="Times New Roman"/>
              </w:rPr>
            </w:pPr>
            <w:r w:rsidRPr="0022142D">
              <w:rPr>
                <w:rFonts w:ascii="Times New Roman" w:hAnsi="Times New Roman" w:cs="Times New Roman"/>
              </w:rPr>
              <w:t>Title</w:t>
            </w:r>
          </w:p>
        </w:tc>
      </w:tr>
    </w:tbl>
    <w:p w:rsidR="00804386" w:rsidRPr="0022142D" w:rsidRDefault="00804386" w:rsidP="00804386">
      <w:pPr>
        <w:rPr>
          <w:rFonts w:ascii="Times New Roman" w:hAnsi="Times New Roman" w:cs="Times New Roman"/>
        </w:rPr>
      </w:pPr>
    </w:p>
    <w:sectPr w:rsidR="00804386" w:rsidRPr="002214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E0320"/>
    <w:multiLevelType w:val="hybridMultilevel"/>
    <w:tmpl w:val="3DB23A0C"/>
    <w:lvl w:ilvl="0" w:tplc="6B3C420C">
      <w:start w:val="1"/>
      <w:numFmt w:val="decimal"/>
      <w:lvlText w:val="%1."/>
      <w:lvlJc w:val="left"/>
      <w:pPr>
        <w:ind w:left="360" w:hanging="360"/>
      </w:pPr>
      <w:rPr>
        <w:rFonts w:ascii="Times New Roman" w:eastAsia="Calibri" w:hAnsi="Times New Roman" w:cs="Times New Roman"/>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07D6202"/>
    <w:multiLevelType w:val="hybridMultilevel"/>
    <w:tmpl w:val="562641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386"/>
    <w:rsid w:val="001D6F77"/>
    <w:rsid w:val="002A0DD4"/>
    <w:rsid w:val="004A3C4D"/>
    <w:rsid w:val="006426AB"/>
    <w:rsid w:val="00721A29"/>
    <w:rsid w:val="00804386"/>
    <w:rsid w:val="00825DDE"/>
    <w:rsid w:val="00AB6246"/>
    <w:rsid w:val="00BB6CCD"/>
    <w:rsid w:val="00F34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3B115"/>
  <w15:chartTrackingRefBased/>
  <w15:docId w15:val="{9A0151EB-E43D-493E-BEC1-43CF08851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4386"/>
    <w:pPr>
      <w:spacing w:after="200" w:line="276" w:lineRule="auto"/>
    </w:pPr>
  </w:style>
  <w:style w:type="paragraph" w:styleId="Heading1">
    <w:name w:val="heading 1"/>
    <w:basedOn w:val="Normal"/>
    <w:next w:val="Normal"/>
    <w:link w:val="Heading1Char"/>
    <w:uiPriority w:val="9"/>
    <w:qFormat/>
    <w:rsid w:val="0080438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386"/>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8043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51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L. Deakyne</dc:creator>
  <cp:keywords/>
  <dc:description/>
  <cp:lastModifiedBy>Cindy L. Deakyne</cp:lastModifiedBy>
  <cp:revision>3</cp:revision>
  <dcterms:created xsi:type="dcterms:W3CDTF">2022-12-16T15:12:00Z</dcterms:created>
  <dcterms:modified xsi:type="dcterms:W3CDTF">2022-12-16T15:13:00Z</dcterms:modified>
</cp:coreProperties>
</file>